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B67" w:rsidRDefault="00EF5265">
      <w:pPr>
        <w:tabs>
          <w:tab w:val="left" w:pos="2583"/>
          <w:tab w:val="left" w:pos="4170"/>
          <w:tab w:val="left" w:pos="8470"/>
        </w:tabs>
        <w:ind w:left="197"/>
        <w:rPr>
          <w:rFonts w:ascii="Times New Roman"/>
          <w:sz w:val="20"/>
        </w:rPr>
      </w:pPr>
      <w:r>
        <w:rPr>
          <w:rFonts w:ascii="Times New Roman"/>
          <w:noProof/>
          <w:sz w:val="20"/>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212271" cy="690086"/>
                    </a:xfrm>
                    <a:prstGeom prst="rect">
                      <a:avLst/>
                    </a:prstGeom>
                  </pic:spPr>
                </pic:pic>
              </a:graphicData>
            </a:graphic>
          </wp:inline>
        </w:drawing>
      </w:r>
      <w:r>
        <w:rPr>
          <w:rFonts w:ascii="Times New Roman"/>
          <w:sz w:val="20"/>
        </w:rPr>
        <w:tab/>
      </w:r>
      <w:r>
        <w:rPr>
          <w:noProof/>
        </w:rPr>
        <w:drawing>
          <wp:inline distT="0" distB="0" distL="0" distR="0">
            <wp:extent cx="666656"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666656" cy="688085"/>
                    </a:xfrm>
                    <a:prstGeom prst="rect">
                      <a:avLst/>
                    </a:prstGeom>
                  </pic:spPr>
                </pic:pic>
              </a:graphicData>
            </a:graphic>
          </wp:inline>
        </w:drawing>
      </w:r>
      <w:r>
        <w:rPr>
          <w:rFonts w:ascii="Times New Roman"/>
          <w:sz w:val="20"/>
        </w:rPr>
        <w:tab/>
      </w:r>
      <w:r>
        <w:rPr>
          <w:noProof/>
        </w:rP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169667" cy="249174"/>
                    </a:xfrm>
                    <a:prstGeom prst="rect">
                      <a:avLst/>
                    </a:prstGeom>
                  </pic:spPr>
                </pic:pic>
              </a:graphicData>
            </a:graphic>
          </wp:inline>
        </w:drawing>
      </w:r>
      <w:r>
        <w:rPr>
          <w:rFonts w:ascii="Times New Roman"/>
          <w:sz w:val="20"/>
        </w:rPr>
        <w:t xml:space="preserve"> </w:t>
      </w:r>
      <w:r>
        <w:rPr>
          <w:noProof/>
        </w:rP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9" cstate="print"/>
                    <a:stretch>
                      <a:fillRect/>
                    </a:stretch>
                  </pic:blipFill>
                  <pic:spPr>
                    <a:xfrm>
                      <a:off x="0" y="0"/>
                      <a:ext cx="1111177" cy="280987"/>
                    </a:xfrm>
                    <a:prstGeom prst="rect">
                      <a:avLst/>
                    </a:prstGeom>
                  </pic:spPr>
                </pic:pic>
              </a:graphicData>
            </a:graphic>
          </wp:inline>
        </w:drawing>
      </w:r>
      <w:r>
        <w:rPr>
          <w:rFonts w:ascii="Times New Roman"/>
          <w:sz w:val="20"/>
        </w:rPr>
        <w:tab/>
      </w:r>
      <w:r>
        <w:rPr>
          <w:noProof/>
        </w:rP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688437" cy="662940"/>
                    </a:xfrm>
                    <a:prstGeom prst="rect">
                      <a:avLst/>
                    </a:prstGeom>
                  </pic:spPr>
                </pic:pic>
              </a:graphicData>
            </a:graphic>
          </wp:inline>
        </w:drawing>
      </w:r>
    </w:p>
    <w:p w:rsidR="00024B67" w:rsidRDefault="00024B67">
      <w:pPr>
        <w:pStyle w:val="Corpsdetexte"/>
        <w:rPr>
          <w:rFonts w:ascii="Times New Roman"/>
          <w:sz w:val="20"/>
        </w:rPr>
      </w:pPr>
    </w:p>
    <w:p w:rsidR="00024B67" w:rsidRDefault="00024B67">
      <w:pPr>
        <w:pStyle w:val="Corpsdetexte"/>
        <w:rPr>
          <w:rFonts w:ascii="Times New Roman"/>
          <w:sz w:val="20"/>
        </w:rPr>
      </w:pPr>
    </w:p>
    <w:p w:rsidR="00024B67" w:rsidRDefault="00024B67">
      <w:pPr>
        <w:pStyle w:val="Corpsdetexte"/>
        <w:spacing w:before="5"/>
        <w:rPr>
          <w:rFonts w:ascii="Times New Roman"/>
          <w:sz w:val="28"/>
        </w:rPr>
      </w:pPr>
    </w:p>
    <w:p w:rsidR="00024B67" w:rsidRDefault="00EF5265">
      <w:pPr>
        <w:spacing w:before="101"/>
        <w:ind w:left="197"/>
        <w:rPr>
          <w:sz w:val="24"/>
        </w:rPr>
      </w:pPr>
      <w:r>
        <w:rPr>
          <w:color w:val="595959"/>
          <w:sz w:val="24"/>
        </w:rPr>
        <w:t>DESENVOLVIMENTO DE CAPACIDADES DE ELABORAÇÃO DE LEIS E POLÍTICAS SOBRE DESLOCAÇÕES INTERNAS</w:t>
      </w:r>
    </w:p>
    <w:p w:rsidR="00024B67" w:rsidRDefault="00024B67">
      <w:pPr>
        <w:pStyle w:val="Corpsdetexte"/>
        <w:rPr>
          <w:sz w:val="28"/>
        </w:rPr>
      </w:pPr>
    </w:p>
    <w:p w:rsidR="00024B67" w:rsidRDefault="00024B67">
      <w:pPr>
        <w:pStyle w:val="Corpsdetexte"/>
        <w:rPr>
          <w:sz w:val="28"/>
        </w:rPr>
      </w:pPr>
    </w:p>
    <w:p w:rsidR="00024B67" w:rsidRDefault="00024B67">
      <w:pPr>
        <w:pStyle w:val="Corpsdetexte"/>
        <w:spacing w:before="2"/>
        <w:rPr>
          <w:sz w:val="36"/>
        </w:rPr>
      </w:pPr>
    </w:p>
    <w:p w:rsidR="00024B67" w:rsidRDefault="00EF5265" w:rsidP="00EF5265">
      <w:pPr>
        <w:pStyle w:val="Titre"/>
      </w:pPr>
      <w:r>
        <w:rPr>
          <w:color w:val="4F81BD"/>
        </w:rPr>
        <w:t>SESSÃO 2: ABORDAGEM ÀS DESLOCAÇÕES COM BASE NOS DIREITOS HUMANOS</w:t>
      </w:r>
    </w:p>
    <w:p w:rsidR="00024B67" w:rsidRDefault="00024B67">
      <w:pPr>
        <w:pStyle w:val="Corpsdetexte"/>
        <w:spacing w:before="8"/>
        <w:rPr>
          <w:sz w:val="28"/>
        </w:rPr>
      </w:pPr>
    </w:p>
    <w:tbl>
      <w:tblPr>
        <w:tblStyle w:val="TableNormal"/>
        <w:tblW w:w="0" w:type="auto"/>
        <w:tblInd w:w="118" w:type="dxa"/>
        <w:tblLayout w:type="fixed"/>
        <w:tblLook w:val="01E0" w:firstRow="1" w:lastRow="1" w:firstColumn="1" w:lastColumn="1" w:noHBand="0" w:noVBand="0"/>
      </w:tblPr>
      <w:tblGrid>
        <w:gridCol w:w="6466"/>
        <w:gridCol w:w="4167"/>
      </w:tblGrid>
      <w:tr w:rsidR="00024B67">
        <w:trPr>
          <w:trHeight w:val="201"/>
        </w:trPr>
        <w:tc>
          <w:tcPr>
            <w:tcW w:w="10633" w:type="dxa"/>
            <w:gridSpan w:val="2"/>
            <w:shd w:val="clear" w:color="auto" w:fill="F2F2F2"/>
          </w:tcPr>
          <w:p w:rsidR="00024B67" w:rsidRDefault="00024B67">
            <w:pPr>
              <w:pStyle w:val="TableParagraph"/>
              <w:ind w:left="0"/>
              <w:rPr>
                <w:rFonts w:ascii="Times New Roman"/>
                <w:sz w:val="14"/>
              </w:rPr>
            </w:pPr>
          </w:p>
        </w:tc>
      </w:tr>
      <w:tr w:rsidR="00024B67">
        <w:trPr>
          <w:trHeight w:val="426"/>
        </w:trPr>
        <w:tc>
          <w:tcPr>
            <w:tcW w:w="10633" w:type="dxa"/>
            <w:gridSpan w:val="2"/>
            <w:tcBorders>
              <w:bottom w:val="single" w:sz="18" w:space="0" w:color="FFFFFF"/>
            </w:tcBorders>
            <w:shd w:val="clear" w:color="auto" w:fill="4F81BD"/>
          </w:tcPr>
          <w:p w:rsidR="00024B67" w:rsidRDefault="00EF5265">
            <w:pPr>
              <w:pStyle w:val="TableParagraph"/>
              <w:spacing w:before="73"/>
              <w:ind w:left="86"/>
              <w:rPr>
                <w:sz w:val="21"/>
              </w:rPr>
            </w:pPr>
            <w:r>
              <w:rPr>
                <w:b/>
                <w:color w:val="FFFFFF"/>
                <w:sz w:val="21"/>
              </w:rPr>
              <w:t>QUADRO DE PROTEÇÃO PARA RESPONDER ÀS NECESSIDADES DAS PDI</w:t>
            </w:r>
            <w:r>
              <w:rPr>
                <w:color w:val="FFFFFF"/>
                <w:sz w:val="21"/>
                <w:vertAlign w:val="superscript"/>
              </w:rPr>
              <w:t>1</w:t>
            </w:r>
          </w:p>
        </w:tc>
      </w:tr>
      <w:tr w:rsidR="00024B67">
        <w:trPr>
          <w:trHeight w:val="7232"/>
        </w:trPr>
        <w:tc>
          <w:tcPr>
            <w:tcW w:w="6466" w:type="dxa"/>
            <w:tcBorders>
              <w:top w:val="single" w:sz="18" w:space="0" w:color="FFFFFF"/>
              <w:right w:val="single" w:sz="24" w:space="0" w:color="FFFFFF"/>
            </w:tcBorders>
            <w:shd w:val="clear" w:color="auto" w:fill="F2F2F2"/>
          </w:tcPr>
          <w:p w:rsidR="00024B67" w:rsidRDefault="00EF5265">
            <w:pPr>
              <w:pStyle w:val="TableParagraph"/>
              <w:spacing w:before="212" w:line="288" w:lineRule="auto"/>
              <w:ind w:left="86"/>
              <w:rPr>
                <w:b/>
                <w:sz w:val="21"/>
              </w:rPr>
            </w:pPr>
            <w:r>
              <w:rPr>
                <w:b/>
                <w:sz w:val="21"/>
              </w:rPr>
              <w:t>Direitos associados à segurança física e ao bem-estar psicológico, tais como a proteção contra assassinato, violação, tortura e detenção arbitrária</w:t>
            </w:r>
          </w:p>
          <w:p w:rsidR="00024B67" w:rsidRDefault="00EF5265">
            <w:pPr>
              <w:pStyle w:val="TableParagraph"/>
              <w:spacing w:before="200" w:line="475" w:lineRule="auto"/>
              <w:ind w:right="1687"/>
              <w:rPr>
                <w:sz w:val="21"/>
              </w:rPr>
            </w:pPr>
            <w:r>
              <w:rPr>
                <w:sz w:val="21"/>
              </w:rPr>
              <w:t>Genocídio (artigo 9.1a da Convenção de Kampala) Crimes contra a humanidade (artigo 9.1a)</w:t>
            </w:r>
          </w:p>
          <w:p w:rsidR="00024B67" w:rsidRDefault="00EF5265">
            <w:pPr>
              <w:pStyle w:val="TableParagraph"/>
              <w:spacing w:before="3"/>
              <w:rPr>
                <w:sz w:val="21"/>
              </w:rPr>
            </w:pPr>
            <w:r>
              <w:rPr>
                <w:sz w:val="21"/>
              </w:rPr>
              <w:t>Crimes de guerra (artigo 9.1a)</w:t>
            </w:r>
          </w:p>
          <w:p w:rsidR="00024B67" w:rsidRDefault="00024B67">
            <w:pPr>
              <w:pStyle w:val="TableParagraph"/>
              <w:spacing w:before="8"/>
              <w:ind w:left="0"/>
              <w:rPr>
                <w:sz w:val="20"/>
              </w:rPr>
            </w:pPr>
          </w:p>
          <w:p w:rsidR="00024B67" w:rsidRDefault="00EF5265">
            <w:pPr>
              <w:pStyle w:val="TableParagraph"/>
              <w:spacing w:line="475" w:lineRule="auto"/>
              <w:ind w:right="1687"/>
              <w:rPr>
                <w:sz w:val="21"/>
              </w:rPr>
            </w:pPr>
            <w:r>
              <w:rPr>
                <w:sz w:val="21"/>
              </w:rPr>
              <w:t>Outras violações do DIH contra as PDI (artigo 9.1a) Assassinato arbitrário (artigo 9.1c)</w:t>
            </w:r>
          </w:p>
          <w:p w:rsidR="00024B67" w:rsidRDefault="00EF5265">
            <w:pPr>
              <w:pStyle w:val="TableParagraph"/>
              <w:spacing w:before="3" w:line="475" w:lineRule="auto"/>
              <w:ind w:right="3275"/>
              <w:jc w:val="both"/>
              <w:rPr>
                <w:sz w:val="21"/>
              </w:rPr>
            </w:pPr>
            <w:r>
              <w:rPr>
                <w:sz w:val="21"/>
              </w:rPr>
              <w:t>Execução sumária (artigo 9.1c) Detenção arbitrária (artigo 9.1c) Rapto (artigo 9.1c)</w:t>
            </w:r>
          </w:p>
          <w:p w:rsidR="00024B67" w:rsidRDefault="00EF5265">
            <w:pPr>
              <w:pStyle w:val="TableParagraph"/>
              <w:spacing w:before="3"/>
              <w:jc w:val="both"/>
              <w:rPr>
                <w:sz w:val="21"/>
              </w:rPr>
            </w:pPr>
            <w:r>
              <w:rPr>
                <w:sz w:val="21"/>
              </w:rPr>
              <w:t>Desaparecimento forçado (artigo 9.1c)</w:t>
            </w:r>
          </w:p>
          <w:p w:rsidR="00024B67" w:rsidRDefault="00024B67">
            <w:pPr>
              <w:pStyle w:val="TableParagraph"/>
              <w:spacing w:before="8"/>
              <w:ind w:left="0"/>
              <w:rPr>
                <w:sz w:val="20"/>
              </w:rPr>
            </w:pPr>
          </w:p>
          <w:p w:rsidR="00024B67" w:rsidRDefault="00EF5265">
            <w:pPr>
              <w:pStyle w:val="TableParagraph"/>
              <w:spacing w:before="1" w:line="288" w:lineRule="auto"/>
              <w:ind w:left="228" w:right="265" w:hanging="11"/>
              <w:jc w:val="both"/>
              <w:rPr>
                <w:sz w:val="21"/>
              </w:rPr>
            </w:pPr>
            <w:r>
              <w:rPr>
                <w:sz w:val="21"/>
              </w:rPr>
              <w:t>Tortura e outras formas de tratamento ou punição cruéis, desumanas ou degradantes (artigo 9.1c)</w:t>
            </w:r>
          </w:p>
          <w:p w:rsidR="00024B67" w:rsidRDefault="00EF5265">
            <w:pPr>
              <w:pStyle w:val="TableParagraph"/>
              <w:spacing w:before="200" w:line="292" w:lineRule="auto"/>
              <w:ind w:left="228" w:right="182" w:hanging="11"/>
              <w:jc w:val="both"/>
              <w:rPr>
                <w:sz w:val="21"/>
              </w:rPr>
            </w:pPr>
            <w:r>
              <w:rPr>
                <w:sz w:val="21"/>
              </w:rPr>
              <w:t>Violência de género sob todas as formas, nomeadamente violação, prostituição forçada, exploração sexual e práticas nocivas (artigo 9.1a)</w:t>
            </w:r>
          </w:p>
        </w:tc>
        <w:tc>
          <w:tcPr>
            <w:tcW w:w="4167" w:type="dxa"/>
            <w:tcBorders>
              <w:top w:val="single" w:sz="18" w:space="0" w:color="FFFFFF"/>
              <w:left w:val="single" w:sz="24" w:space="0" w:color="FFFFFF"/>
            </w:tcBorders>
            <w:shd w:val="clear" w:color="auto" w:fill="F2F2F2"/>
          </w:tcPr>
          <w:p w:rsidR="00024B67" w:rsidRDefault="00EF5265">
            <w:pPr>
              <w:pStyle w:val="TableParagraph"/>
              <w:spacing w:before="212" w:line="288" w:lineRule="auto"/>
              <w:ind w:left="75"/>
              <w:rPr>
                <w:b/>
                <w:sz w:val="21"/>
              </w:rPr>
            </w:pPr>
            <w:r>
              <w:rPr>
                <w:b/>
                <w:sz w:val="21"/>
              </w:rPr>
              <w:t>Direitos associados às necessidades básicas da vida, tais como alimentação, habitação e água potável</w:t>
            </w:r>
          </w:p>
          <w:p w:rsidR="00024B67" w:rsidRDefault="00EF5265">
            <w:pPr>
              <w:pStyle w:val="TableParagraph"/>
              <w:spacing w:before="200" w:line="288" w:lineRule="auto"/>
              <w:ind w:left="268" w:right="300"/>
              <w:jc w:val="both"/>
              <w:rPr>
                <w:sz w:val="21"/>
              </w:rPr>
            </w:pPr>
            <w:r>
              <w:rPr>
                <w:sz w:val="21"/>
              </w:rPr>
              <w:t>Assistência pela resposta às necessidades básicas das PDI (artigo 3.1j)</w:t>
            </w:r>
          </w:p>
          <w:p w:rsidR="00024B67" w:rsidRDefault="00EF5265">
            <w:pPr>
              <w:pStyle w:val="TableParagraph"/>
              <w:spacing w:before="201" w:line="292" w:lineRule="auto"/>
              <w:ind w:left="268" w:right="301"/>
              <w:jc w:val="both"/>
              <w:rPr>
                <w:sz w:val="21"/>
              </w:rPr>
            </w:pPr>
            <w:r>
              <w:rPr>
                <w:sz w:val="21"/>
              </w:rPr>
              <w:t>Autossuficiência e meios de subsistência sustentáveis (artigo 3.1k)</w:t>
            </w:r>
          </w:p>
          <w:p w:rsidR="00024B67" w:rsidRDefault="00EF5265">
            <w:pPr>
              <w:pStyle w:val="TableParagraph"/>
              <w:spacing w:before="195" w:line="288" w:lineRule="auto"/>
              <w:ind w:left="268" w:right="242"/>
              <w:jc w:val="both"/>
              <w:rPr>
                <w:sz w:val="21"/>
              </w:rPr>
            </w:pPr>
            <w:r>
              <w:rPr>
                <w:sz w:val="21"/>
              </w:rPr>
              <w:t>Direito de viver em condições satisfatórias de dignidade, segurança, alimentação, água, saúde e habitação (artigo 7.5c para grupos armados)</w:t>
            </w:r>
          </w:p>
          <w:p w:rsidR="00024B67" w:rsidRDefault="00EF5265">
            <w:pPr>
              <w:pStyle w:val="TableParagraph"/>
              <w:spacing w:before="201" w:line="290" w:lineRule="auto"/>
              <w:ind w:left="268" w:right="405"/>
              <w:jc w:val="both"/>
              <w:rPr>
                <w:sz w:val="21"/>
              </w:rPr>
            </w:pPr>
            <w:r>
              <w:rPr>
                <w:sz w:val="21"/>
              </w:rPr>
              <w:t>Assistência humanitária - alimentação, água, habitação, cuidados médicos e outros serviços de saúde, saneamento, educação e quaisquer outros serviços sociais necessários (artigo 9.2b)</w:t>
            </w:r>
          </w:p>
          <w:p w:rsidR="00024B67" w:rsidRDefault="00EF5265">
            <w:pPr>
              <w:pStyle w:val="TableParagraph"/>
              <w:spacing w:before="196" w:line="288" w:lineRule="auto"/>
              <w:ind w:left="268"/>
              <w:rPr>
                <w:sz w:val="21"/>
              </w:rPr>
            </w:pPr>
            <w:r>
              <w:rPr>
                <w:sz w:val="21"/>
              </w:rPr>
              <w:t>Saúde sexual e reprodutiva das mulheres deslocadas internamente e apoio psicossocial para vítimas de abusos sexuais e outros</w:t>
            </w:r>
          </w:p>
        </w:tc>
      </w:tr>
    </w:tbl>
    <w:p w:rsidR="00024B67" w:rsidRDefault="00024B67">
      <w:pPr>
        <w:pStyle w:val="Corpsdetexte"/>
        <w:rPr>
          <w:sz w:val="20"/>
        </w:rPr>
      </w:pPr>
    </w:p>
    <w:p w:rsidR="00024B67" w:rsidRDefault="00327B4E">
      <w:pPr>
        <w:pStyle w:val="Corpsdetexte"/>
        <w:spacing w:before="2"/>
        <w:rPr>
          <w:sz w:val="10"/>
        </w:rPr>
      </w:pPr>
      <w:r>
        <w:pict>
          <v:rect id="_x0000_s1027" style="position:absolute;margin-left:35.9pt;margin-top:8.2pt;width:2in;height:.5pt;z-index:-15728640;mso-wrap-distance-left:0;mso-wrap-distance-right:0;mso-position-horizontal-relative:page" fillcolor="black" stroked="f">
            <w10:wrap type="topAndBottom" anchorx="page"/>
          </v:rect>
        </w:pict>
      </w:r>
    </w:p>
    <w:p w:rsidR="00024B67" w:rsidRDefault="00EF5265">
      <w:pPr>
        <w:spacing w:before="501" w:line="285" w:lineRule="auto"/>
        <w:ind w:left="197"/>
        <w:rPr>
          <w:rFonts w:ascii="Cambria" w:hAnsi="Cambria"/>
          <w:sz w:val="19"/>
        </w:rPr>
      </w:pPr>
      <w:r>
        <w:rPr>
          <w:rFonts w:ascii="Cambria" w:hAnsi="Cambria"/>
        </w:rPr>
        <w:t xml:space="preserve"> </w:t>
      </w:r>
      <w:r>
        <w:rPr>
          <w:rFonts w:ascii="Cambria" w:hAnsi="Cambria"/>
          <w:sz w:val="13"/>
        </w:rPr>
        <w:t xml:space="preserve">1 </w:t>
      </w:r>
      <w:r>
        <w:rPr>
          <w:rFonts w:ascii="Cambria" w:hAnsi="Cambria"/>
        </w:rPr>
        <w:t>Adaptado da tabela desenvolvida pelo representante do antigo secretário-geral das Nações Unidas para os direitos humanos das PDI, Prof</w:t>
      </w:r>
      <w:r>
        <w:rPr>
          <w:rFonts w:ascii="Cambria" w:hAnsi="Cambria"/>
          <w:sz w:val="19"/>
        </w:rPr>
        <w:t>. Walter Kaelin, para operacionalizar de forma concreta a aplicação dos Princípios Orientadores à proteção das PDI.</w:t>
      </w:r>
    </w:p>
    <w:p w:rsidR="00024B67" w:rsidRDefault="00024B67">
      <w:pPr>
        <w:spacing w:line="285" w:lineRule="auto"/>
        <w:rPr>
          <w:rFonts w:ascii="Cambria" w:hAnsi="Cambria"/>
          <w:sz w:val="19"/>
        </w:rPr>
        <w:sectPr w:rsidR="00024B67">
          <w:headerReference w:type="even" r:id="rId11"/>
          <w:headerReference w:type="default" r:id="rId12"/>
          <w:footerReference w:type="even" r:id="rId13"/>
          <w:footerReference w:type="default" r:id="rId14"/>
          <w:headerReference w:type="first" r:id="rId15"/>
          <w:footerReference w:type="first" r:id="rId16"/>
          <w:type w:val="continuous"/>
          <w:pgSz w:w="11900" w:h="16820"/>
          <w:pgMar w:top="920" w:right="520" w:bottom="280" w:left="520" w:header="708" w:footer="708" w:gutter="0"/>
          <w:cols w:space="708"/>
        </w:sectPr>
      </w:pPr>
    </w:p>
    <w:tbl>
      <w:tblPr>
        <w:tblStyle w:val="TableNormal"/>
        <w:tblW w:w="0" w:type="auto"/>
        <w:tblCellSpacing w:w="23" w:type="dxa"/>
        <w:tblInd w:w="141" w:type="dxa"/>
        <w:tblLayout w:type="fixed"/>
        <w:tblLook w:val="01E0" w:firstRow="1" w:lastRow="1" w:firstColumn="1" w:lastColumn="1" w:noHBand="0" w:noVBand="0"/>
      </w:tblPr>
      <w:tblGrid>
        <w:gridCol w:w="6535"/>
        <w:gridCol w:w="4236"/>
      </w:tblGrid>
      <w:tr w:rsidR="00024B67">
        <w:trPr>
          <w:trHeight w:val="9951"/>
          <w:tblCellSpacing w:w="23" w:type="dxa"/>
        </w:trPr>
        <w:tc>
          <w:tcPr>
            <w:tcW w:w="6466" w:type="dxa"/>
            <w:tcBorders>
              <w:bottom w:val="nil"/>
              <w:right w:val="nil"/>
            </w:tcBorders>
            <w:shd w:val="clear" w:color="auto" w:fill="F2F2F2"/>
          </w:tcPr>
          <w:p w:rsidR="00024B67" w:rsidRDefault="00EF5265">
            <w:pPr>
              <w:pStyle w:val="TableParagraph"/>
              <w:spacing w:before="11"/>
              <w:rPr>
                <w:sz w:val="21"/>
              </w:rPr>
            </w:pPr>
            <w:r>
              <w:rPr>
                <w:sz w:val="21"/>
              </w:rPr>
              <w:lastRenderedPageBreak/>
              <w:t>Escravatura (artigo 9.1a)</w:t>
            </w:r>
          </w:p>
          <w:p w:rsidR="00024B67" w:rsidRDefault="00024B67">
            <w:pPr>
              <w:pStyle w:val="TableParagraph"/>
              <w:spacing w:before="6"/>
              <w:ind w:left="0"/>
              <w:rPr>
                <w:rFonts w:ascii="Cambria"/>
                <w:sz w:val="21"/>
              </w:rPr>
            </w:pPr>
          </w:p>
          <w:p w:rsidR="00024B67" w:rsidRDefault="00EF5265">
            <w:pPr>
              <w:pStyle w:val="TableParagraph"/>
              <w:spacing w:line="292" w:lineRule="auto"/>
              <w:ind w:left="228" w:right="319" w:hanging="11"/>
              <w:rPr>
                <w:sz w:val="21"/>
              </w:rPr>
            </w:pPr>
            <w:r>
              <w:rPr>
                <w:sz w:val="21"/>
              </w:rPr>
              <w:t>Recrutamento de crianças e uso das mesmas em atos de hostilidade (artigo 7.5e para grupos armados e artigo 9.1a)</w:t>
            </w:r>
          </w:p>
          <w:p w:rsidR="00024B67" w:rsidRDefault="00EF5265">
            <w:pPr>
              <w:pStyle w:val="TableParagraph"/>
              <w:spacing w:before="196"/>
              <w:rPr>
                <w:sz w:val="21"/>
              </w:rPr>
            </w:pPr>
            <w:r>
              <w:rPr>
                <w:sz w:val="21"/>
              </w:rPr>
              <w:t>Trabalho forçado (artigo 9.1a)</w:t>
            </w:r>
          </w:p>
          <w:p w:rsidR="00024B67" w:rsidRDefault="00024B67">
            <w:pPr>
              <w:pStyle w:val="TableParagraph"/>
              <w:spacing w:before="6"/>
              <w:ind w:left="0"/>
              <w:rPr>
                <w:rFonts w:ascii="Cambria"/>
                <w:sz w:val="21"/>
              </w:rPr>
            </w:pPr>
          </w:p>
          <w:p w:rsidR="00024B67" w:rsidRDefault="00EF5265">
            <w:pPr>
              <w:pStyle w:val="TableParagraph"/>
              <w:spacing w:line="475" w:lineRule="auto"/>
              <w:ind w:right="1210"/>
              <w:rPr>
                <w:sz w:val="21"/>
              </w:rPr>
            </w:pPr>
            <w:r>
              <w:rPr>
                <w:sz w:val="21"/>
              </w:rPr>
              <w:t>Tráfico humano e contrabando (artigo 9.1d) Fome (artigo 9.1e)</w:t>
            </w:r>
          </w:p>
          <w:p w:rsidR="00024B67" w:rsidRDefault="00EF5265">
            <w:pPr>
              <w:pStyle w:val="TableParagraph"/>
              <w:spacing w:before="2" w:line="475" w:lineRule="auto"/>
              <w:ind w:right="2126"/>
              <w:rPr>
                <w:sz w:val="21"/>
              </w:rPr>
            </w:pPr>
            <w:r>
              <w:rPr>
                <w:sz w:val="21"/>
              </w:rPr>
              <w:t>Sequestro (artigo 7.5f para grupos armados) Rapto (artigo 7.5f para grupos armados) Tomada de reféns (artigo 7.5f para grupos armados) Escravatura sexual (artigo 7.5f para grupos armados) Tráfico (artigo 7.5f para grupos armados)</w:t>
            </w:r>
          </w:p>
          <w:p w:rsidR="00024B67" w:rsidRDefault="00EF5265">
            <w:pPr>
              <w:pStyle w:val="TableParagraph"/>
              <w:spacing w:before="6" w:line="288" w:lineRule="auto"/>
              <w:ind w:left="228" w:right="224" w:hanging="11"/>
              <w:rPr>
                <w:sz w:val="21"/>
              </w:rPr>
            </w:pPr>
            <w:r>
              <w:rPr>
                <w:sz w:val="21"/>
              </w:rPr>
              <w:t>Liberdade de movimento dentro ou fora das áreas de residência (artigo 7.5d para grupos armados)</w:t>
            </w:r>
          </w:p>
          <w:p w:rsidR="00024B67" w:rsidRDefault="00EF5265">
            <w:pPr>
              <w:pStyle w:val="TableParagraph"/>
              <w:spacing w:before="201"/>
              <w:rPr>
                <w:sz w:val="21"/>
              </w:rPr>
            </w:pPr>
            <w:r>
              <w:rPr>
                <w:sz w:val="21"/>
              </w:rPr>
              <w:t>Liberdade de movimento e escolha de residência (artigo 9.2f)</w:t>
            </w:r>
          </w:p>
          <w:p w:rsidR="00024B67" w:rsidRDefault="00024B67">
            <w:pPr>
              <w:pStyle w:val="TableParagraph"/>
              <w:spacing w:before="6"/>
              <w:ind w:left="0"/>
              <w:rPr>
                <w:rFonts w:ascii="Cambria"/>
                <w:sz w:val="21"/>
              </w:rPr>
            </w:pPr>
          </w:p>
          <w:p w:rsidR="00024B67" w:rsidRDefault="00EF5265">
            <w:pPr>
              <w:pStyle w:val="TableParagraph"/>
              <w:rPr>
                <w:sz w:val="21"/>
              </w:rPr>
            </w:pPr>
            <w:r>
              <w:rPr>
                <w:sz w:val="21"/>
              </w:rPr>
              <w:t>Direito de procurar refúgio noutra zona do país (artigo 9.2e)</w:t>
            </w:r>
          </w:p>
          <w:p w:rsidR="00024B67" w:rsidRDefault="00024B67">
            <w:pPr>
              <w:pStyle w:val="TableParagraph"/>
              <w:spacing w:before="6"/>
              <w:ind w:left="0"/>
              <w:rPr>
                <w:rFonts w:ascii="Cambria"/>
                <w:sz w:val="21"/>
              </w:rPr>
            </w:pPr>
          </w:p>
          <w:p w:rsidR="00024B67" w:rsidRDefault="00EF5265">
            <w:pPr>
              <w:pStyle w:val="TableParagraph"/>
              <w:spacing w:before="1" w:line="292" w:lineRule="auto"/>
              <w:ind w:left="228" w:right="319" w:hanging="11"/>
              <w:rPr>
                <w:sz w:val="21"/>
              </w:rPr>
            </w:pPr>
            <w:r>
              <w:rPr>
                <w:sz w:val="21"/>
              </w:rPr>
              <w:t>Proteção contra o retorno forçado ou a reinstalação em qualquer lugar onde a vida, a segurança e/ou a saúde estariam em risco (artigo 9.2e)</w:t>
            </w:r>
          </w:p>
          <w:p w:rsidR="00024B67" w:rsidRDefault="00EF5265">
            <w:pPr>
              <w:pStyle w:val="TableParagraph"/>
              <w:spacing w:before="195" w:line="288" w:lineRule="auto"/>
              <w:ind w:left="228" w:right="445" w:hanging="11"/>
              <w:rPr>
                <w:sz w:val="21"/>
              </w:rPr>
            </w:pPr>
            <w:r>
              <w:rPr>
                <w:sz w:val="21"/>
              </w:rPr>
              <w:t>Caráter civil e humanitário dos locais onde as PDI são acolhidas (artigo 7.5i e 9.2.g)</w:t>
            </w:r>
          </w:p>
          <w:p w:rsidR="00024B67" w:rsidRDefault="00EF5265">
            <w:pPr>
              <w:pStyle w:val="TableParagraph"/>
              <w:spacing w:before="201" w:line="290" w:lineRule="auto"/>
              <w:ind w:left="228" w:right="429" w:hanging="11"/>
              <w:rPr>
                <w:sz w:val="21"/>
              </w:rPr>
            </w:pPr>
            <w:r>
              <w:rPr>
                <w:sz w:val="21"/>
              </w:rPr>
              <w:t>Medidas para localizar e reunir as famílias separadas durante a deslocação e facilitar o reestabelecimento dos laços familiares (artigo 9.2h)</w:t>
            </w:r>
          </w:p>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 w:rsidR="00C80C9F" w:rsidRPr="00C80C9F" w:rsidRDefault="00C80C9F" w:rsidP="00C80C9F">
            <w:pPr>
              <w:tabs>
                <w:tab w:val="left" w:pos="2763"/>
              </w:tabs>
            </w:pPr>
            <w:r>
              <w:tab/>
            </w:r>
          </w:p>
          <w:p w:rsidR="00C80C9F" w:rsidRPr="00C80C9F" w:rsidRDefault="00C80C9F" w:rsidP="00C80C9F"/>
        </w:tc>
        <w:tc>
          <w:tcPr>
            <w:tcW w:w="4167" w:type="dxa"/>
            <w:tcBorders>
              <w:left w:val="nil"/>
              <w:bottom w:val="nil"/>
            </w:tcBorders>
            <w:shd w:val="clear" w:color="auto" w:fill="F2F2F2"/>
          </w:tcPr>
          <w:p w:rsidR="00024B67" w:rsidRDefault="00EF5265">
            <w:pPr>
              <w:pStyle w:val="TableParagraph"/>
              <w:spacing w:before="11"/>
              <w:ind w:left="268"/>
              <w:rPr>
                <w:sz w:val="21"/>
              </w:rPr>
            </w:pPr>
            <w:r>
              <w:rPr>
                <w:sz w:val="21"/>
              </w:rPr>
              <w:lastRenderedPageBreak/>
              <w:t>(artigo 9.2.d)</w:t>
            </w:r>
          </w:p>
          <w:p w:rsidR="00024B67" w:rsidRDefault="00024B67">
            <w:pPr>
              <w:pStyle w:val="TableParagraph"/>
              <w:spacing w:before="6"/>
              <w:ind w:left="0"/>
              <w:rPr>
                <w:rFonts w:ascii="Cambria"/>
                <w:sz w:val="21"/>
              </w:rPr>
            </w:pPr>
          </w:p>
          <w:p w:rsidR="00024B67" w:rsidRDefault="00EF5265">
            <w:pPr>
              <w:pStyle w:val="TableParagraph"/>
              <w:spacing w:line="290" w:lineRule="auto"/>
              <w:ind w:left="268"/>
              <w:rPr>
                <w:sz w:val="21"/>
              </w:rPr>
            </w:pPr>
            <w:r>
              <w:rPr>
                <w:sz w:val="21"/>
              </w:rPr>
              <w:t>Proteção contra a degradação ambiental em áreas de deslocação (artigo 9.2j)</w:t>
            </w:r>
          </w:p>
        </w:tc>
      </w:tr>
      <w:tr w:rsidR="00024B67">
        <w:trPr>
          <w:trHeight w:val="3730"/>
          <w:tblCellSpacing w:w="23" w:type="dxa"/>
        </w:trPr>
        <w:tc>
          <w:tcPr>
            <w:tcW w:w="6466" w:type="dxa"/>
            <w:tcBorders>
              <w:top w:val="nil"/>
              <w:right w:val="nil"/>
            </w:tcBorders>
            <w:shd w:val="clear" w:color="auto" w:fill="F2F2F2"/>
          </w:tcPr>
          <w:p w:rsidR="00024B67" w:rsidRDefault="00EF5265">
            <w:pPr>
              <w:pStyle w:val="TableParagraph"/>
              <w:spacing w:before="212" w:line="288" w:lineRule="auto"/>
              <w:ind w:left="86" w:right="161"/>
              <w:rPr>
                <w:b/>
                <w:sz w:val="21"/>
              </w:rPr>
            </w:pPr>
            <w:r>
              <w:rPr>
                <w:b/>
                <w:sz w:val="21"/>
              </w:rPr>
              <w:t>Direitos económicos, sociais e culturais associados à saúde, educação e propriedade</w:t>
            </w:r>
          </w:p>
          <w:p w:rsidR="00024B67" w:rsidRDefault="00EF5265">
            <w:pPr>
              <w:pStyle w:val="TableParagraph"/>
              <w:spacing w:before="200" w:line="288" w:lineRule="auto"/>
              <w:ind w:left="228" w:right="232"/>
              <w:rPr>
                <w:sz w:val="21"/>
              </w:rPr>
            </w:pPr>
            <w:r>
              <w:rPr>
                <w:sz w:val="21"/>
              </w:rPr>
              <w:t>Proteção da propriedade individual, coletiva e cultural nas áreas de origem e deslocação (artigo 9.2g)</w:t>
            </w:r>
          </w:p>
          <w:p w:rsidR="00024B67" w:rsidRDefault="00EF5265">
            <w:pPr>
              <w:pStyle w:val="TableParagraph"/>
              <w:spacing w:before="201" w:line="292" w:lineRule="auto"/>
              <w:ind w:left="228" w:right="466"/>
              <w:rPr>
                <w:sz w:val="21"/>
              </w:rPr>
            </w:pPr>
            <w:r>
              <w:rPr>
                <w:sz w:val="21"/>
              </w:rPr>
              <w:t>Mecanismos que estabelecem procedimentos simplificados para resolver disputas de propriedade (artigo 11.4)</w:t>
            </w:r>
          </w:p>
          <w:p w:rsidR="00024B67" w:rsidRDefault="00EF5265">
            <w:pPr>
              <w:pStyle w:val="TableParagraph"/>
              <w:spacing w:before="195" w:line="288" w:lineRule="auto"/>
              <w:ind w:left="228" w:right="329"/>
              <w:rPr>
                <w:sz w:val="21"/>
              </w:rPr>
            </w:pPr>
            <w:r>
              <w:rPr>
                <w:sz w:val="21"/>
              </w:rPr>
              <w:t>Recuperação de terrenos para comunidades com uma dependência e ligação especiais a esses terrenos (artigo 11.5)</w:t>
            </w:r>
          </w:p>
        </w:tc>
        <w:tc>
          <w:tcPr>
            <w:tcW w:w="4167" w:type="dxa"/>
            <w:tcBorders>
              <w:top w:val="nil"/>
              <w:left w:val="nil"/>
            </w:tcBorders>
            <w:shd w:val="clear" w:color="auto" w:fill="F2F2F2"/>
          </w:tcPr>
          <w:p w:rsidR="00024B67" w:rsidRDefault="00EF5265">
            <w:pPr>
              <w:pStyle w:val="TableParagraph"/>
              <w:spacing w:before="212" w:line="288" w:lineRule="auto"/>
              <w:ind w:left="75" w:right="177"/>
              <w:rPr>
                <w:b/>
                <w:sz w:val="21"/>
              </w:rPr>
            </w:pPr>
            <w:r>
              <w:rPr>
                <w:b/>
                <w:sz w:val="21"/>
              </w:rPr>
              <w:t>Direitos civis e políticos associados à documentação e direitos de voto</w:t>
            </w:r>
          </w:p>
          <w:p w:rsidR="00024B67" w:rsidRDefault="00EF5265">
            <w:pPr>
              <w:pStyle w:val="TableParagraph"/>
              <w:spacing w:before="200" w:line="288" w:lineRule="auto"/>
              <w:ind w:left="268"/>
              <w:rPr>
                <w:sz w:val="21"/>
              </w:rPr>
            </w:pPr>
            <w:r>
              <w:rPr>
                <w:sz w:val="21"/>
              </w:rPr>
              <w:t>Participação em decisões associadas à proteção e assistência (artigo 9.2k)</w:t>
            </w:r>
          </w:p>
          <w:p w:rsidR="00024B67" w:rsidRDefault="00EF5265">
            <w:pPr>
              <w:pStyle w:val="TableParagraph"/>
              <w:spacing w:before="201" w:line="290" w:lineRule="auto"/>
              <w:ind w:left="268"/>
              <w:rPr>
                <w:sz w:val="21"/>
              </w:rPr>
            </w:pPr>
            <w:r>
              <w:rPr>
                <w:sz w:val="21"/>
              </w:rPr>
              <w:t>Direitos civis e políticos, participação pública, direito ao voto e de ser eleito para cargos públicos (artigo 9.2l)</w:t>
            </w:r>
          </w:p>
          <w:p w:rsidR="00024B67" w:rsidRDefault="00EF5265">
            <w:pPr>
              <w:pStyle w:val="TableParagraph"/>
              <w:spacing w:before="198" w:line="288" w:lineRule="auto"/>
              <w:ind w:left="268" w:right="177"/>
              <w:rPr>
                <w:sz w:val="21"/>
              </w:rPr>
            </w:pPr>
            <w:r>
              <w:rPr>
                <w:sz w:val="21"/>
              </w:rPr>
              <w:t>Documentos necessários ao exercício de direitos (artigo 13.2-4)</w:t>
            </w:r>
          </w:p>
        </w:tc>
      </w:tr>
    </w:tbl>
    <w:p w:rsidR="00024B67" w:rsidRDefault="00024B67">
      <w:pPr>
        <w:spacing w:line="288" w:lineRule="auto"/>
        <w:rPr>
          <w:sz w:val="21"/>
        </w:rPr>
        <w:sectPr w:rsidR="00024B67">
          <w:footerReference w:type="default" r:id="rId17"/>
          <w:pgSz w:w="11900" w:h="16820"/>
          <w:pgMar w:top="760" w:right="520" w:bottom="1580" w:left="520" w:header="0" w:footer="1384" w:gutter="0"/>
          <w:pgNumType w:start="2"/>
          <w:cols w:space="708"/>
        </w:sectPr>
      </w:pPr>
    </w:p>
    <w:p w:rsidR="00024B67" w:rsidRDefault="00327B4E">
      <w:pPr>
        <w:pStyle w:val="Corpsdetexte"/>
        <w:ind w:left="111"/>
        <w:rPr>
          <w:rFonts w:ascii="Cambria"/>
          <w:sz w:val="20"/>
        </w:rPr>
      </w:pPr>
      <w:r>
        <w:rPr>
          <w:rFonts w:ascii="Cambria"/>
          <w:sz w:val="20"/>
        </w:rPr>
      </w:r>
      <w:r>
        <w:rPr>
          <w:rFonts w:ascii="Cambria"/>
          <w:sz w:val="20"/>
        </w:rPr>
        <w:pict>
          <v:shapetype id="_x0000_t202" coordsize="21600,21600" o:spt="202" path="m,l,21600r21600,l21600,xe">
            <v:stroke joinstyle="miter"/>
            <v:path gradientshapeok="t" o:connecttype="rect"/>
          </v:shapetype>
          <v:shape id="_x0000_s1028" type="#_x0000_t202" style="width:531.6pt;height:137.3pt;mso-left-percent:-10001;mso-top-percent:-10001;mso-position-horizontal:absolute;mso-position-horizontal-relative:char;mso-position-vertical:absolute;mso-position-vertical-relative:line;mso-left-percent:-10001;mso-top-percent:-10001" fillcolor="#f2f2f2" stroked="f">
            <v:textbox inset="0,0,0,0">
              <w:txbxContent>
                <w:p w:rsidR="00024B67" w:rsidRDefault="00EF5265">
                  <w:pPr>
                    <w:spacing w:before="208"/>
                    <w:ind w:left="86"/>
                    <w:rPr>
                      <w:b/>
                      <w:sz w:val="21"/>
                    </w:rPr>
                  </w:pPr>
                  <w:r>
                    <w:rPr>
                      <w:b/>
                      <w:sz w:val="21"/>
                    </w:rPr>
                    <w:t>Direitos transversais</w:t>
                  </w:r>
                </w:p>
                <w:p w:rsidR="00024B67" w:rsidRDefault="00024B67">
                  <w:pPr>
                    <w:pStyle w:val="Corpsdetexte"/>
                    <w:rPr>
                      <w:b/>
                    </w:rPr>
                  </w:pPr>
                </w:p>
                <w:p w:rsidR="00024B67" w:rsidRDefault="00EF5265">
                  <w:pPr>
                    <w:pStyle w:val="Corpsdetexte"/>
                    <w:spacing w:before="1" w:line="475" w:lineRule="auto"/>
                    <w:ind w:left="228" w:right="3845"/>
                  </w:pPr>
                  <w:r>
                    <w:t>Direito de solicitar ou procurar refúgio e assistência de forma pacífica (artigo 5.9) Não discriminação de qualquer tipo (artigo 5.1)</w:t>
                  </w:r>
                </w:p>
                <w:p w:rsidR="00024B67" w:rsidRDefault="00EF5265">
                  <w:pPr>
                    <w:pStyle w:val="Corpsdetexte"/>
                    <w:spacing w:before="2" w:line="475" w:lineRule="auto"/>
                    <w:ind w:left="228" w:right="179"/>
                  </w:pPr>
                  <w:r>
                    <w:t>Não discriminação no exercício de quaisquer direitos ou liberdades com base na deslocação (artigo 9.1a) Proteção e assistência especial para pessoas com necessidades especiais (artigo 9.2c)</w:t>
                  </w:r>
                </w:p>
              </w:txbxContent>
            </v:textbox>
            <w10:wrap type="none"/>
            <w10:anchorlock/>
          </v:shape>
        </w:pict>
      </w:r>
    </w:p>
    <w:sectPr w:rsidR="00024B67">
      <w:pgSz w:w="11900" w:h="16820"/>
      <w:pgMar w:top="760" w:right="520" w:bottom="1580" w:left="520" w:header="0" w:footer="13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C85" w:rsidRDefault="00EF5265">
      <w:r>
        <w:separator/>
      </w:r>
    </w:p>
  </w:endnote>
  <w:endnote w:type="continuationSeparator" w:id="0">
    <w:p w:rsidR="006C0C85" w:rsidRDefault="00EF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B67" w:rsidRDefault="00327B4E">
    <w:pPr>
      <w:pStyle w:val="Corpsdetex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34.9pt;margin-top:756.8pt;width:458.8pt;height:17.6pt;z-index:-15799808;mso-position-horizontal-relative:page;mso-position-vertical-relative:page" filled="f" stroked="f">
          <v:textbox style="mso-next-textbox:#_x0000_s2050" inset="0,0,0,0">
            <w:txbxContent>
              <w:p w:rsidR="00024B67" w:rsidRPr="00C80C9F" w:rsidRDefault="00EF5265">
                <w:pPr>
                  <w:spacing w:before="26"/>
                  <w:ind w:left="20"/>
                  <w:rPr>
                    <w:rFonts w:ascii="Cambria"/>
                    <w:sz w:val="10"/>
                    <w:szCs w:val="16"/>
                  </w:rPr>
                </w:pPr>
                <w:bookmarkStart w:id="0" w:name="_GoBack"/>
                <w:r w:rsidRPr="00C80C9F">
                  <w:rPr>
                    <w:rFonts w:ascii="Cambria"/>
                    <w:sz w:val="16"/>
                    <w:szCs w:val="16"/>
                  </w:rPr>
                  <w:t>DESENVOLVIMENTO DE CAPACIDADES DE ELABORA</w:t>
                </w:r>
                <w:r w:rsidRPr="00C80C9F">
                  <w:rPr>
                    <w:rFonts w:ascii="Cambria"/>
                    <w:sz w:val="16"/>
                    <w:szCs w:val="16"/>
                  </w:rPr>
                  <w:t>ÇÃ</w:t>
                </w:r>
                <w:r w:rsidRPr="00C80C9F">
                  <w:rPr>
                    <w:rFonts w:ascii="Cambria"/>
                    <w:sz w:val="16"/>
                    <w:szCs w:val="16"/>
                  </w:rPr>
                  <w:t>O DE LEIS E POL</w:t>
                </w:r>
                <w:r w:rsidRPr="00C80C9F">
                  <w:rPr>
                    <w:rFonts w:ascii="Cambria"/>
                    <w:sz w:val="16"/>
                    <w:szCs w:val="16"/>
                  </w:rPr>
                  <w:t>Í</w:t>
                </w:r>
                <w:r w:rsidRPr="00C80C9F">
                  <w:rPr>
                    <w:rFonts w:ascii="Cambria"/>
                    <w:sz w:val="16"/>
                    <w:szCs w:val="16"/>
                  </w:rPr>
                  <w:t>TICAS SOBRE DESLOCA</w:t>
                </w:r>
                <w:r w:rsidRPr="00C80C9F">
                  <w:rPr>
                    <w:rFonts w:ascii="Cambria"/>
                    <w:sz w:val="16"/>
                    <w:szCs w:val="16"/>
                  </w:rPr>
                  <w:t>ÇÕ</w:t>
                </w:r>
                <w:r w:rsidRPr="00C80C9F">
                  <w:rPr>
                    <w:rFonts w:ascii="Cambria"/>
                    <w:sz w:val="16"/>
                    <w:szCs w:val="16"/>
                  </w:rPr>
                  <w:t>ES INTERNAS</w:t>
                </w:r>
                <w:bookmarkEnd w:id="0"/>
              </w:p>
            </w:txbxContent>
          </v:textbox>
          <w10:wrap anchorx="page" anchory="page"/>
        </v:shape>
      </w:pict>
    </w:r>
    <w:r>
      <w:pict>
        <v:shape id="_x0000_s2049" type="#_x0000_t202" style="position:absolute;margin-left:550.3pt;margin-top:767.15pt;width:11.45pt;height:13.55pt;z-index:-15799296;mso-position-horizontal-relative:page;mso-position-vertical-relative:page" filled="f" stroked="f">
          <v:textbox style="mso-next-textbox:#_x0000_s2049" inset="0,0,0,0">
            <w:txbxContent>
              <w:p w:rsidR="00024B67" w:rsidRDefault="00EF5265">
                <w:pPr>
                  <w:spacing w:before="26"/>
                  <w:ind w:left="60"/>
                  <w:rPr>
                    <w:rFonts w:ascii="Cambria"/>
                    <w:sz w:val="19"/>
                  </w:rPr>
                </w:pPr>
                <w:r>
                  <w:fldChar w:fldCharType="begin"/>
                </w:r>
                <w:r>
                  <w:rPr>
                    <w:rFonts w:ascii="Cambria"/>
                    <w:sz w:val="19"/>
                  </w:rPr>
                  <w:instrText xml:space="preserve"> PAGE </w:instrText>
                </w:r>
                <w:r>
                  <w:fldChar w:fldCharType="separate"/>
                </w:r>
                <w: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C85" w:rsidRDefault="00EF5265">
      <w:r>
        <w:separator/>
      </w:r>
    </w:p>
  </w:footnote>
  <w:footnote w:type="continuationSeparator" w:id="0">
    <w:p w:rsidR="006C0C85" w:rsidRDefault="00EF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B4E" w:rsidRDefault="00327B4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24B67"/>
    <w:rsid w:val="00024B67"/>
    <w:rsid w:val="00327B4E"/>
    <w:rsid w:val="006C0C85"/>
    <w:rsid w:val="00C80C9F"/>
    <w:rsid w:val="00EF5265"/>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59B61A9-4DA8-4353-80F8-D1152146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1"/>
      <w:szCs w:val="21"/>
    </w:rPr>
  </w:style>
  <w:style w:type="paragraph" w:styleId="Titre">
    <w:name w:val="Title"/>
    <w:basedOn w:val="Normal"/>
    <w:uiPriority w:val="10"/>
    <w:qFormat/>
    <w:pPr>
      <w:ind w:left="197"/>
    </w:pPr>
    <w:rPr>
      <w:sz w:val="52"/>
      <w:szCs w:val="52"/>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217"/>
    </w:pPr>
  </w:style>
  <w:style w:type="paragraph" w:styleId="En-tte">
    <w:name w:val="header"/>
    <w:basedOn w:val="Normal"/>
    <w:link w:val="En-tteCar"/>
    <w:uiPriority w:val="99"/>
    <w:unhideWhenUsed/>
    <w:rsid w:val="00C80C9F"/>
    <w:pPr>
      <w:tabs>
        <w:tab w:val="center" w:pos="4513"/>
        <w:tab w:val="right" w:pos="9026"/>
      </w:tabs>
    </w:pPr>
  </w:style>
  <w:style w:type="character" w:customStyle="1" w:styleId="En-tteCar">
    <w:name w:val="En-tête Car"/>
    <w:basedOn w:val="Policepardfaut"/>
    <w:link w:val="En-tte"/>
    <w:uiPriority w:val="99"/>
    <w:rsid w:val="00C80C9F"/>
    <w:rPr>
      <w:rFonts w:ascii="Calibri" w:eastAsia="Calibri" w:hAnsi="Calibri" w:cs="Calibri"/>
    </w:rPr>
  </w:style>
  <w:style w:type="paragraph" w:styleId="Pieddepage">
    <w:name w:val="footer"/>
    <w:basedOn w:val="Normal"/>
    <w:link w:val="PieddepageCar"/>
    <w:uiPriority w:val="99"/>
    <w:unhideWhenUsed/>
    <w:rsid w:val="00C80C9F"/>
    <w:pPr>
      <w:tabs>
        <w:tab w:val="center" w:pos="4513"/>
        <w:tab w:val="right" w:pos="9026"/>
      </w:tabs>
    </w:pPr>
  </w:style>
  <w:style w:type="character" w:customStyle="1" w:styleId="PieddepageCar">
    <w:name w:val="Pied de page Car"/>
    <w:basedOn w:val="Policepardfaut"/>
    <w:link w:val="Pieddepage"/>
    <w:uiPriority w:val="99"/>
    <w:rsid w:val="00C80C9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588</Words>
  <Characters>3239</Characters>
  <Application>Microsoft Office Word</Application>
  <DocSecurity>0</DocSecurity>
  <Lines>26</Lines>
  <Paragraphs>7</Paragraphs>
  <ScaleCrop>false</ScaleCrop>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Vincent</cp:lastModifiedBy>
  <cp:revision>2</cp:revision>
  <dcterms:created xsi:type="dcterms:W3CDTF">2021-01-20T12:57:00Z</dcterms:created>
  <dcterms:modified xsi:type="dcterms:W3CDTF">2021-01-20T12:57:00Z</dcterms:modified>
</cp:coreProperties>
</file>